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37" w:rsidRDefault="008E1937" w:rsidP="008E193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8E1937">
        <w:rPr>
          <w:rFonts w:ascii="Times New Roman" w:hAnsi="Times New Roman"/>
          <w:b/>
          <w:sz w:val="32"/>
          <w:szCs w:val="32"/>
        </w:rPr>
        <w:t xml:space="preserve">ЕГРН по Костромской области пополнился сведениями о </w:t>
      </w:r>
      <w:r w:rsidR="00F92752">
        <w:rPr>
          <w:rFonts w:ascii="Times New Roman" w:hAnsi="Times New Roman"/>
          <w:b/>
          <w:sz w:val="32"/>
          <w:szCs w:val="32"/>
        </w:rPr>
        <w:t>9</w:t>
      </w:r>
      <w:r w:rsidRPr="008E1937">
        <w:rPr>
          <w:rFonts w:ascii="Times New Roman" w:hAnsi="Times New Roman"/>
          <w:b/>
          <w:sz w:val="32"/>
          <w:szCs w:val="32"/>
        </w:rPr>
        <w:t xml:space="preserve"> границах муниципальных образований</w:t>
      </w:r>
      <w:r w:rsidR="00F92752">
        <w:rPr>
          <w:rFonts w:ascii="Times New Roman" w:hAnsi="Times New Roman"/>
          <w:b/>
          <w:sz w:val="32"/>
          <w:szCs w:val="32"/>
        </w:rPr>
        <w:t xml:space="preserve"> </w:t>
      </w:r>
    </w:p>
    <w:p w:rsidR="00074FB9" w:rsidRPr="008E1937" w:rsidRDefault="00074FB9" w:rsidP="008E193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257C33" w:rsidRPr="008E1937" w:rsidRDefault="00257C33" w:rsidP="00F927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1937">
        <w:rPr>
          <w:rFonts w:ascii="Times New Roman" w:hAnsi="Times New Roman"/>
          <w:sz w:val="28"/>
          <w:szCs w:val="28"/>
        </w:rPr>
        <w:t xml:space="preserve">В  </w:t>
      </w:r>
      <w:r w:rsidRPr="00F92752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квартале 2019 года </w:t>
      </w:r>
      <w:r w:rsidRPr="008E1937">
        <w:rPr>
          <w:rFonts w:ascii="Times New Roman" w:hAnsi="Times New Roman"/>
          <w:sz w:val="28"/>
          <w:szCs w:val="28"/>
        </w:rPr>
        <w:t>Кадастровой палатой по Костромс</w:t>
      </w:r>
      <w:r>
        <w:rPr>
          <w:rFonts w:ascii="Times New Roman" w:hAnsi="Times New Roman"/>
          <w:sz w:val="28"/>
          <w:szCs w:val="28"/>
        </w:rPr>
        <w:t>кой области внесены сведения о 9</w:t>
      </w:r>
      <w:r w:rsidRPr="008E1937">
        <w:rPr>
          <w:rFonts w:ascii="Times New Roman" w:hAnsi="Times New Roman"/>
          <w:sz w:val="28"/>
          <w:szCs w:val="28"/>
        </w:rPr>
        <w:t xml:space="preserve"> гра</w:t>
      </w:r>
      <w:r w:rsidR="00F92752">
        <w:rPr>
          <w:rFonts w:ascii="Times New Roman" w:hAnsi="Times New Roman"/>
          <w:sz w:val="28"/>
          <w:szCs w:val="28"/>
        </w:rPr>
        <w:t xml:space="preserve">ницах муниципальных образований. </w:t>
      </w:r>
      <w:r w:rsidR="00074FB9">
        <w:rPr>
          <w:rFonts w:ascii="Times New Roman" w:hAnsi="Times New Roman"/>
          <w:sz w:val="28"/>
          <w:szCs w:val="28"/>
        </w:rPr>
        <w:t>За аналогичный период 2018 года сведения о границах муниципальных образований, внесенных в ЕГРН, отсутствовали.</w:t>
      </w:r>
      <w:r w:rsidRPr="008E1937">
        <w:rPr>
          <w:rFonts w:ascii="Times New Roman" w:hAnsi="Times New Roman"/>
          <w:sz w:val="28"/>
          <w:szCs w:val="28"/>
        </w:rPr>
        <w:t xml:space="preserve"> На сегодняшний момент ЕГРН содержит сведения о 48 границах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74FB9">
        <w:rPr>
          <w:rFonts w:ascii="Times New Roman" w:hAnsi="Times New Roman"/>
          <w:sz w:val="28"/>
          <w:szCs w:val="28"/>
        </w:rPr>
        <w:t>с</w:t>
      </w:r>
      <w:r w:rsidRPr="008E1937">
        <w:rPr>
          <w:rFonts w:ascii="Times New Roman" w:hAnsi="Times New Roman"/>
          <w:sz w:val="28"/>
          <w:szCs w:val="28"/>
        </w:rPr>
        <w:t>оответственно их можно увидеть на </w:t>
      </w:r>
      <w:hyperlink r:id="rId4" w:history="1">
        <w:r w:rsidRPr="008E1937">
          <w:rPr>
            <w:rStyle w:val="a3"/>
            <w:rFonts w:ascii="Times New Roman" w:hAnsi="Times New Roman"/>
            <w:sz w:val="28"/>
            <w:szCs w:val="28"/>
          </w:rPr>
          <w:t>«Публичной кадастровой карте»</w:t>
        </w:r>
      </w:hyperlink>
      <w:r w:rsidRPr="008E1937">
        <w:rPr>
          <w:rFonts w:ascii="Times New Roman" w:hAnsi="Times New Roman"/>
          <w:sz w:val="28"/>
          <w:szCs w:val="28"/>
        </w:rPr>
        <w:t xml:space="preserve">. </w:t>
      </w:r>
    </w:p>
    <w:p w:rsidR="008E1937" w:rsidRPr="008E1937" w:rsidRDefault="008E1937" w:rsidP="008E193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1937">
        <w:rPr>
          <w:rFonts w:ascii="Times New Roman" w:hAnsi="Times New Roman"/>
          <w:sz w:val="28"/>
          <w:szCs w:val="28"/>
        </w:rPr>
        <w:t xml:space="preserve">Одной из составляющих Единого государственного реестра недвижимости (ЕГРН) является Реестр границ, в том числе и границ объектов землеустройства. Границы муниципальных образований относятся к объектам землеустройства. Сведения о таких границах подлежат внесению в ЕГРН. Законодательством предусмотрена обязанность предоставления органом государственной власти, органом местного самоуправления в орган регистрации прав документов (содержащихся в них сведений) о границе муниципального образования в течение шести месяцев </w:t>
      </w:r>
      <w:proofErr w:type="gramStart"/>
      <w:r w:rsidRPr="008E1937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8E1937">
        <w:rPr>
          <w:rFonts w:ascii="Times New Roman" w:hAnsi="Times New Roman"/>
          <w:sz w:val="28"/>
          <w:szCs w:val="28"/>
        </w:rPr>
        <w:t xml:space="preserve"> решения (акта) об установлении или изменении границы муниципального образования. Документом, содержащим описание местоположения границы муниципального образования, является карта (план) объекта землеустройства, прошедшая государственную экспертизу.</w:t>
      </w:r>
    </w:p>
    <w:p w:rsidR="008E1937" w:rsidRPr="008E1937" w:rsidRDefault="008E1937" w:rsidP="008E193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1937">
        <w:rPr>
          <w:rFonts w:ascii="Times New Roman" w:hAnsi="Times New Roman"/>
          <w:sz w:val="28"/>
          <w:szCs w:val="28"/>
        </w:rPr>
        <w:t>Наличие в ЕГРН сведений о границах муниципальных образований позволяет обеспечить соблюдение требований законодательства при проведении кадастрового учета, что повышает защищенность имущественных прав юридических лиц и граждан. Кроме того, актуальная информация о границах позволяет эффективно управлять территориями и земельными ресурсами района, а также увеличивает инвестиционную привлекательность региона.</w:t>
      </w:r>
    </w:p>
    <w:p w:rsidR="00667B3C" w:rsidRDefault="00667B3C"/>
    <w:sectPr w:rsidR="00667B3C" w:rsidSect="006A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937"/>
    <w:rsid w:val="00074FB9"/>
    <w:rsid w:val="000C72C3"/>
    <w:rsid w:val="00257C33"/>
    <w:rsid w:val="00484FD6"/>
    <w:rsid w:val="005E59D9"/>
    <w:rsid w:val="00667B3C"/>
    <w:rsid w:val="008C5C86"/>
    <w:rsid w:val="008E1937"/>
    <w:rsid w:val="00F9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3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E1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AA.Smirnova</dc:creator>
  <cp:lastModifiedBy>AA.Smirnova</cp:lastModifiedBy>
  <cp:revision>5</cp:revision>
  <dcterms:created xsi:type="dcterms:W3CDTF">2019-04-09T14:40:00Z</dcterms:created>
  <dcterms:modified xsi:type="dcterms:W3CDTF">2019-04-19T09:50:00Z</dcterms:modified>
</cp:coreProperties>
</file>