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BF" w:rsidRDefault="00D97FBF" w:rsidP="007132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713265" w:rsidRPr="00510CAC" w:rsidRDefault="00B25787" w:rsidP="00327A6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0CAC">
        <w:rPr>
          <w:rFonts w:ascii="Arial" w:eastAsia="Times New Roman" w:hAnsi="Arial" w:cs="Arial"/>
          <w:b/>
        </w:rPr>
        <w:t>РОССИЙСКАЯ ФЕДЕРАЦИЯ</w:t>
      </w:r>
    </w:p>
    <w:p w:rsidR="00713265" w:rsidRPr="00510CAC" w:rsidRDefault="00B25787" w:rsidP="00327A6C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10CAC">
        <w:rPr>
          <w:rFonts w:ascii="Arial" w:eastAsia="Arial" w:hAnsi="Arial" w:cs="Arial"/>
          <w:b/>
        </w:rPr>
        <w:t>КОСТРОМСКАЯ ОБЛАСТЬ</w:t>
      </w:r>
    </w:p>
    <w:p w:rsidR="00B550EA" w:rsidRPr="00510CAC" w:rsidRDefault="00B550EA" w:rsidP="00327A6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</w:rPr>
      </w:pPr>
    </w:p>
    <w:p w:rsidR="00713265" w:rsidRPr="00510CAC" w:rsidRDefault="00B550EA" w:rsidP="00327A6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0CAC"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405984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84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64A" w:rsidRPr="00510CAC" w:rsidRDefault="004D3A94" w:rsidP="00327A6C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10CAC">
        <w:rPr>
          <w:rFonts w:ascii="Arial" w:eastAsia="Arial" w:hAnsi="Arial" w:cs="Arial"/>
          <w:b/>
        </w:rPr>
        <w:t>СОВЕТ</w:t>
      </w:r>
      <w:r w:rsidR="00B25787" w:rsidRPr="00510CAC">
        <w:rPr>
          <w:rFonts w:ascii="Arial" w:eastAsia="Arial" w:hAnsi="Arial" w:cs="Arial"/>
          <w:b/>
        </w:rPr>
        <w:t xml:space="preserve"> ДЕПУТАТОВ</w:t>
      </w:r>
    </w:p>
    <w:p w:rsidR="003A57DD" w:rsidRPr="00510CAC" w:rsidRDefault="003A57DD" w:rsidP="00327A6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0CAC">
        <w:rPr>
          <w:rFonts w:ascii="Arial" w:eastAsia="Arial" w:hAnsi="Arial" w:cs="Arial"/>
          <w:b/>
        </w:rPr>
        <w:t>ГОРОДСКОГО ПОСЕЛЕНИЯ ГОРОД МАКАРЬЕВ</w:t>
      </w:r>
    </w:p>
    <w:p w:rsidR="00713265" w:rsidRPr="00510CAC" w:rsidRDefault="00B25787" w:rsidP="00327A6C">
      <w:pPr>
        <w:spacing w:after="0" w:line="240" w:lineRule="auto"/>
        <w:ind w:right="-2"/>
        <w:jc w:val="center"/>
        <w:rPr>
          <w:rFonts w:ascii="Arial" w:eastAsia="Arial" w:hAnsi="Arial" w:cs="Arial"/>
          <w:b/>
        </w:rPr>
      </w:pPr>
      <w:r w:rsidRPr="00510CAC">
        <w:rPr>
          <w:rFonts w:ascii="Arial" w:eastAsia="Arial" w:hAnsi="Arial" w:cs="Arial"/>
          <w:b/>
        </w:rPr>
        <w:t>МАКАРЬЕВСКОГО МУНИЦИПАЛЬНОГО РАЙОНА</w:t>
      </w:r>
    </w:p>
    <w:p w:rsidR="00713265" w:rsidRPr="003A57DD" w:rsidRDefault="00713265" w:rsidP="00327A6C">
      <w:pPr>
        <w:spacing w:after="0" w:line="240" w:lineRule="auto"/>
        <w:ind w:right="-437"/>
        <w:jc w:val="center"/>
        <w:rPr>
          <w:rFonts w:ascii="Arial" w:eastAsia="Arial" w:hAnsi="Arial" w:cs="Arial"/>
          <w:b/>
          <w:sz w:val="24"/>
        </w:rPr>
      </w:pPr>
    </w:p>
    <w:p w:rsidR="00F1564A" w:rsidRPr="00510CAC" w:rsidRDefault="00B25787" w:rsidP="00327A6C">
      <w:pPr>
        <w:spacing w:after="0" w:line="240" w:lineRule="auto"/>
        <w:ind w:right="140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510CAC">
        <w:rPr>
          <w:rFonts w:ascii="Arial" w:eastAsia="Arial" w:hAnsi="Arial" w:cs="Arial"/>
          <w:b/>
          <w:sz w:val="24"/>
          <w:szCs w:val="24"/>
        </w:rPr>
        <w:t>Р</w:t>
      </w:r>
      <w:proofErr w:type="gramEnd"/>
      <w:r w:rsidRPr="00510CAC">
        <w:rPr>
          <w:rFonts w:ascii="Arial" w:eastAsia="Arial" w:hAnsi="Arial" w:cs="Arial"/>
          <w:b/>
          <w:sz w:val="24"/>
          <w:szCs w:val="24"/>
        </w:rPr>
        <w:t xml:space="preserve"> Е Ш Е Н И Е</w:t>
      </w:r>
      <w:r w:rsidR="00510CAC" w:rsidRPr="00510CAC">
        <w:rPr>
          <w:rFonts w:ascii="Arial" w:eastAsia="Arial" w:hAnsi="Arial" w:cs="Arial"/>
          <w:b/>
          <w:sz w:val="24"/>
          <w:szCs w:val="24"/>
        </w:rPr>
        <w:t xml:space="preserve"> </w:t>
      </w:r>
      <w:r w:rsidR="00510CAC" w:rsidRPr="00510CAC">
        <w:rPr>
          <w:rFonts w:ascii="Arial" w:eastAsia="Segoe UI Symbol" w:hAnsi="Arial" w:cs="Arial"/>
          <w:b/>
          <w:sz w:val="24"/>
          <w:szCs w:val="24"/>
        </w:rPr>
        <w:t>№ 266</w:t>
      </w:r>
    </w:p>
    <w:p w:rsidR="00510CAC" w:rsidRPr="00510CAC" w:rsidRDefault="00510CAC" w:rsidP="00327A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1564A" w:rsidRDefault="00B25787" w:rsidP="00327A6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510CAC">
        <w:rPr>
          <w:rFonts w:ascii="Arial" w:eastAsia="Arial" w:hAnsi="Arial" w:cs="Arial"/>
          <w:sz w:val="24"/>
        </w:rPr>
        <w:t>29 августа 2024 года</w:t>
      </w:r>
    </w:p>
    <w:p w:rsidR="00405E57" w:rsidRDefault="00405E57" w:rsidP="00327A6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81532" w:rsidRPr="00510CAC" w:rsidTr="00510CAC">
        <w:tc>
          <w:tcPr>
            <w:tcW w:w="4644" w:type="dxa"/>
          </w:tcPr>
          <w:p w:rsidR="00181532" w:rsidRPr="00510CAC" w:rsidRDefault="00181532" w:rsidP="0018153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10CAC">
              <w:rPr>
                <w:rFonts w:ascii="Arial" w:hAnsi="Arial" w:cs="Arial"/>
                <w:sz w:val="23"/>
                <w:szCs w:val="23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510CAC">
              <w:rPr>
                <w:rFonts w:ascii="Arial" w:hAnsi="Arial" w:cs="Arial"/>
                <w:sz w:val="23"/>
                <w:szCs w:val="23"/>
              </w:rPr>
              <w:t>Макарьевского</w:t>
            </w:r>
            <w:proofErr w:type="spellEnd"/>
            <w:r w:rsidRPr="00510CAC">
              <w:rPr>
                <w:rFonts w:ascii="Arial" w:hAnsi="Arial" w:cs="Arial"/>
                <w:sz w:val="23"/>
                <w:szCs w:val="23"/>
              </w:rPr>
              <w:t xml:space="preserve"> муниципального района Костромской области от 31.01.2020 № 31</w:t>
            </w:r>
          </w:p>
        </w:tc>
      </w:tr>
    </w:tbl>
    <w:p w:rsidR="00004F48" w:rsidRPr="00510CAC" w:rsidRDefault="00004F48" w:rsidP="00327A6C">
      <w:pPr>
        <w:spacing w:after="0" w:line="240" w:lineRule="auto"/>
        <w:ind w:firstLine="539"/>
        <w:jc w:val="both"/>
        <w:rPr>
          <w:rFonts w:ascii="Arial" w:hAnsi="Arial" w:cs="Arial"/>
          <w:sz w:val="23"/>
          <w:szCs w:val="23"/>
        </w:rPr>
      </w:pPr>
    </w:p>
    <w:p w:rsidR="00004F48" w:rsidRPr="00510CAC" w:rsidRDefault="00405E57" w:rsidP="00510CA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Arial" w:eastAsia="Times New Roman" w:hAnsi="Arial" w:cs="Arial"/>
          <w:sz w:val="23"/>
          <w:szCs w:val="23"/>
        </w:rPr>
      </w:pPr>
      <w:r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ст. 31, 32, 33 Градостроительного кодекса Российской Федерации, </w:t>
      </w:r>
      <w:proofErr w:type="gramStart"/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руководствуясь Уставом городского поселения город Макарьев </w:t>
      </w:r>
      <w:proofErr w:type="spellStart"/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Макарьевского</w:t>
      </w:r>
      <w:proofErr w:type="spellEnd"/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 муниципального</w:t>
      </w:r>
      <w:proofErr w:type="gramEnd"/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 района</w:t>
      </w:r>
      <w:r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 </w:t>
      </w:r>
      <w:r w:rsid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Костромской области </w:t>
      </w:r>
      <w:r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Совет депутатов горо</w:t>
      </w:r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дского поселения город Макарьев </w:t>
      </w:r>
      <w:proofErr w:type="spellStart"/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Макарьевского</w:t>
      </w:r>
      <w:proofErr w:type="spellEnd"/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 муниципального района четвертого созыва</w:t>
      </w:r>
    </w:p>
    <w:p w:rsidR="00F1564A" w:rsidRPr="00510CAC" w:rsidRDefault="004D3A94" w:rsidP="0031727A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</w:rPr>
        <w:t>РЕШ</w:t>
      </w:r>
      <w:bookmarkStart w:id="0" w:name="_GoBack"/>
      <w:bookmarkEnd w:id="0"/>
      <w:r w:rsidRPr="00510CAC">
        <w:rPr>
          <w:rFonts w:ascii="Arial" w:eastAsia="Times New Roman" w:hAnsi="Arial" w:cs="Arial"/>
          <w:sz w:val="23"/>
          <w:szCs w:val="23"/>
        </w:rPr>
        <w:t>ИЛ</w:t>
      </w:r>
      <w:r w:rsidR="00B25787" w:rsidRPr="00510CAC">
        <w:rPr>
          <w:rFonts w:ascii="Arial" w:eastAsia="Times New Roman" w:hAnsi="Arial" w:cs="Arial"/>
          <w:sz w:val="23"/>
          <w:szCs w:val="23"/>
        </w:rPr>
        <w:t>:</w:t>
      </w:r>
    </w:p>
    <w:p w:rsidR="007948C3" w:rsidRPr="00510CAC" w:rsidRDefault="007948C3" w:rsidP="00327A6C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10"/>
          <w:szCs w:val="23"/>
        </w:rPr>
      </w:pPr>
    </w:p>
    <w:p w:rsidR="0056030B" w:rsidRPr="00510CAC" w:rsidRDefault="00EF5333" w:rsidP="0056030B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</w:rPr>
        <w:t xml:space="preserve">1. </w:t>
      </w:r>
      <w:r w:rsidR="0083068A">
        <w:rPr>
          <w:rFonts w:ascii="Arial" w:hAnsi="Arial" w:cs="Arial"/>
          <w:sz w:val="23"/>
          <w:szCs w:val="23"/>
        </w:rPr>
        <w:t>Внести в р</w:t>
      </w:r>
      <w:r w:rsidR="00FC64EB" w:rsidRPr="00510CAC">
        <w:rPr>
          <w:rFonts w:ascii="Arial" w:hAnsi="Arial" w:cs="Arial"/>
          <w:sz w:val="23"/>
          <w:szCs w:val="23"/>
        </w:rPr>
        <w:t>ешение Совета</w:t>
      </w:r>
      <w:r w:rsidR="00E04F75" w:rsidRPr="00510CAC">
        <w:rPr>
          <w:rFonts w:ascii="Arial" w:hAnsi="Arial" w:cs="Arial"/>
          <w:sz w:val="23"/>
          <w:szCs w:val="23"/>
        </w:rPr>
        <w:t xml:space="preserve"> депутатов </w:t>
      </w:r>
      <w:r w:rsidR="003A57DD" w:rsidRPr="00510CAC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510CAC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510CAC">
        <w:rPr>
          <w:rFonts w:ascii="Arial" w:hAnsi="Arial" w:cs="Arial"/>
          <w:sz w:val="23"/>
          <w:szCs w:val="23"/>
        </w:rPr>
        <w:t xml:space="preserve"> м</w:t>
      </w:r>
      <w:r w:rsidR="00E04F75" w:rsidRPr="00510CAC">
        <w:rPr>
          <w:rFonts w:ascii="Arial" w:hAnsi="Arial" w:cs="Arial"/>
          <w:sz w:val="23"/>
          <w:szCs w:val="23"/>
        </w:rPr>
        <w:t>униципального</w:t>
      </w:r>
      <w:r w:rsidR="00510CAC">
        <w:rPr>
          <w:rFonts w:ascii="Arial" w:hAnsi="Arial" w:cs="Arial"/>
          <w:sz w:val="23"/>
          <w:szCs w:val="23"/>
        </w:rPr>
        <w:t xml:space="preserve"> </w:t>
      </w:r>
      <w:r w:rsidR="00E04F75" w:rsidRPr="00510CAC">
        <w:rPr>
          <w:rFonts w:ascii="Arial" w:hAnsi="Arial" w:cs="Arial"/>
          <w:sz w:val="23"/>
          <w:szCs w:val="23"/>
        </w:rPr>
        <w:t>района Костромской области</w:t>
      </w:r>
      <w:r w:rsidR="00427C29" w:rsidRPr="00510CAC">
        <w:rPr>
          <w:rFonts w:ascii="Arial" w:hAnsi="Arial" w:cs="Arial"/>
          <w:sz w:val="23"/>
          <w:szCs w:val="23"/>
        </w:rPr>
        <w:t xml:space="preserve"> от </w:t>
      </w:r>
      <w:r w:rsidR="00403BD2" w:rsidRPr="00510CAC">
        <w:rPr>
          <w:rFonts w:ascii="Arial" w:hAnsi="Arial" w:cs="Arial"/>
          <w:sz w:val="23"/>
          <w:szCs w:val="23"/>
        </w:rPr>
        <w:t>31.01</w:t>
      </w:r>
      <w:r w:rsidR="00E04F75" w:rsidRPr="00510CAC">
        <w:rPr>
          <w:rFonts w:ascii="Arial" w:hAnsi="Arial" w:cs="Arial"/>
          <w:sz w:val="23"/>
          <w:szCs w:val="23"/>
        </w:rPr>
        <w:t>.20</w:t>
      </w:r>
      <w:r w:rsidR="00403BD2" w:rsidRPr="00510CAC">
        <w:rPr>
          <w:rFonts w:ascii="Arial" w:hAnsi="Arial" w:cs="Arial"/>
          <w:sz w:val="23"/>
          <w:szCs w:val="23"/>
        </w:rPr>
        <w:t>20</w:t>
      </w:r>
      <w:r w:rsidR="00E04F75" w:rsidRPr="00510CAC">
        <w:rPr>
          <w:rFonts w:ascii="Arial" w:hAnsi="Arial" w:cs="Arial"/>
          <w:sz w:val="23"/>
          <w:szCs w:val="23"/>
        </w:rPr>
        <w:t xml:space="preserve"> № </w:t>
      </w:r>
      <w:r w:rsidR="00403BD2" w:rsidRPr="00510CAC">
        <w:rPr>
          <w:rFonts w:ascii="Arial" w:hAnsi="Arial" w:cs="Arial"/>
          <w:sz w:val="23"/>
          <w:szCs w:val="23"/>
        </w:rPr>
        <w:t xml:space="preserve">31 (в ред. от 18.05.2020 №44, от 21.09.2020 №55; от 30.04.2021 №88, от 30.09.2021 №114) </w:t>
      </w:r>
      <w:r w:rsidR="00E04F75" w:rsidRPr="00510CAC">
        <w:rPr>
          <w:rFonts w:ascii="Arial" w:hAnsi="Arial" w:cs="Arial"/>
          <w:sz w:val="23"/>
          <w:szCs w:val="23"/>
        </w:rPr>
        <w:t>«</w:t>
      </w:r>
      <w:r w:rsidR="00403BD2" w:rsidRPr="00510CAC">
        <w:rPr>
          <w:rFonts w:ascii="Arial" w:hAnsi="Arial" w:cs="Arial"/>
          <w:sz w:val="23"/>
          <w:szCs w:val="23"/>
        </w:rPr>
        <w:t xml:space="preserve">Об утверждении Правил благоустройства городского поселения город Макарьев </w:t>
      </w:r>
      <w:proofErr w:type="spellStart"/>
      <w:r w:rsidR="00403BD2" w:rsidRPr="00510CAC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403BD2" w:rsidRPr="00510CAC">
        <w:rPr>
          <w:rFonts w:ascii="Arial" w:hAnsi="Arial" w:cs="Arial"/>
          <w:sz w:val="23"/>
          <w:szCs w:val="23"/>
        </w:rPr>
        <w:t xml:space="preserve"> муниципального района Костромской области</w:t>
      </w:r>
      <w:r w:rsidR="00004F48" w:rsidRPr="00510CAC">
        <w:rPr>
          <w:rFonts w:ascii="Arial" w:hAnsi="Arial" w:cs="Arial"/>
          <w:sz w:val="23"/>
          <w:szCs w:val="23"/>
        </w:rPr>
        <w:t>»</w:t>
      </w:r>
      <w:r w:rsidR="00327A6C" w:rsidRPr="00510CAC">
        <w:rPr>
          <w:rFonts w:ascii="Arial" w:hAnsi="Arial" w:cs="Arial"/>
          <w:sz w:val="23"/>
          <w:szCs w:val="23"/>
        </w:rPr>
        <w:t xml:space="preserve"> (далее - Правила</w:t>
      </w:r>
      <w:proofErr w:type="gramStart"/>
      <w:r w:rsidR="00327A6C" w:rsidRPr="00510CAC">
        <w:rPr>
          <w:rFonts w:ascii="Arial" w:hAnsi="Arial" w:cs="Arial"/>
          <w:sz w:val="23"/>
          <w:szCs w:val="23"/>
        </w:rPr>
        <w:t>)</w:t>
      </w:r>
      <w:r w:rsidR="00685AC5" w:rsidRPr="00510CAC">
        <w:rPr>
          <w:rFonts w:ascii="Arial" w:hAnsi="Arial" w:cs="Arial"/>
          <w:sz w:val="23"/>
          <w:szCs w:val="23"/>
        </w:rPr>
        <w:t>с</w:t>
      </w:r>
      <w:proofErr w:type="gramEnd"/>
      <w:r w:rsidR="00685AC5" w:rsidRPr="00510CAC">
        <w:rPr>
          <w:rFonts w:ascii="Arial" w:hAnsi="Arial" w:cs="Arial"/>
          <w:sz w:val="23"/>
          <w:szCs w:val="23"/>
        </w:rPr>
        <w:t>ледующие изменения:</w:t>
      </w:r>
    </w:p>
    <w:p w:rsidR="00685AC5" w:rsidRPr="00510CAC" w:rsidRDefault="00685AC5" w:rsidP="00B550EA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1.1. Раздел </w:t>
      </w:r>
      <w:r w:rsidRPr="00510CAC">
        <w:rPr>
          <w:rFonts w:ascii="Arial" w:hAnsi="Arial" w:cs="Arial"/>
          <w:sz w:val="23"/>
          <w:szCs w:val="23"/>
          <w:lang w:val="en-US"/>
        </w:rPr>
        <w:t>V</w:t>
      </w:r>
      <w:r w:rsidRPr="00510CAC">
        <w:rPr>
          <w:rFonts w:ascii="Arial" w:hAnsi="Arial" w:cs="Arial"/>
          <w:sz w:val="23"/>
          <w:szCs w:val="23"/>
        </w:rPr>
        <w:t xml:space="preserve">I Правил </w:t>
      </w:r>
      <w:r w:rsidR="0056030B" w:rsidRPr="00510CAC">
        <w:rPr>
          <w:rFonts w:ascii="Arial" w:hAnsi="Arial" w:cs="Arial"/>
          <w:sz w:val="23"/>
          <w:szCs w:val="23"/>
        </w:rPr>
        <w:t>дополнить пунктами 6.14. и 6.15.</w:t>
      </w:r>
      <w:r w:rsidRPr="00510CAC">
        <w:rPr>
          <w:rFonts w:ascii="Arial" w:hAnsi="Arial" w:cs="Arial"/>
          <w:sz w:val="23"/>
          <w:szCs w:val="23"/>
        </w:rPr>
        <w:t xml:space="preserve"> следующего содержания: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«6.14. Требования к вывескам (объявлениям), устанавливаемым на объектах, реализующих алкогольную продукцию: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1. Вывеска размещается перед входом в торговую точку. Используют внешние границы помещения — фасад, дверь и окна. 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2. Вывеска не должна превышать </w:t>
      </w:r>
      <w:smartTag w:uri="urn:schemas-microsoft-com:office:smarttags" w:element="metricconverter">
        <w:smartTagPr>
          <w:attr w:name="ProductID" w:val="30 сантиметров"/>
        </w:smartTagPr>
        <w:r w:rsidRPr="00510CAC">
          <w:rPr>
            <w:rFonts w:ascii="Arial" w:hAnsi="Arial" w:cs="Arial"/>
            <w:sz w:val="23"/>
            <w:szCs w:val="23"/>
          </w:rPr>
          <w:t>30 сантиметров</w:t>
        </w:r>
      </w:smartTag>
      <w:r w:rsidRPr="00510CAC">
        <w:rPr>
          <w:rFonts w:ascii="Arial" w:hAnsi="Arial" w:cs="Arial"/>
          <w:sz w:val="23"/>
          <w:szCs w:val="23"/>
        </w:rPr>
        <w:t xml:space="preserve"> в высоту и </w:t>
      </w:r>
      <w:smartTag w:uri="urn:schemas-microsoft-com:office:smarttags" w:element="metricconverter">
        <w:smartTagPr>
          <w:attr w:name="ProductID" w:val="1,5 метра"/>
        </w:smartTagPr>
        <w:r w:rsidRPr="00510CAC">
          <w:rPr>
            <w:rFonts w:ascii="Arial" w:hAnsi="Arial" w:cs="Arial"/>
            <w:sz w:val="23"/>
            <w:szCs w:val="23"/>
          </w:rPr>
          <w:t>1,5 метра</w:t>
        </w:r>
      </w:smartTag>
      <w:r w:rsidRPr="00510CAC">
        <w:rPr>
          <w:rFonts w:ascii="Arial" w:hAnsi="Arial" w:cs="Arial"/>
          <w:sz w:val="23"/>
          <w:szCs w:val="23"/>
        </w:rPr>
        <w:t xml:space="preserve"> в длину.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3. Консольные и витринные конструкции запрещаются.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4. Запрет на использование в вывесках: 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— названий алкогольных напитков и названий, ассоциирующихся с алкоголем: «алкоголь», «водка», «вино», «</w:t>
      </w:r>
      <w:proofErr w:type="spellStart"/>
      <w:proofErr w:type="gramStart"/>
      <w:r w:rsidRPr="00510CAC">
        <w:rPr>
          <w:rFonts w:ascii="Arial" w:hAnsi="Arial" w:cs="Arial"/>
          <w:sz w:val="23"/>
          <w:szCs w:val="23"/>
        </w:rPr>
        <w:t>вино-водочный</w:t>
      </w:r>
      <w:proofErr w:type="spellEnd"/>
      <w:proofErr w:type="gramEnd"/>
      <w:r w:rsidRPr="00510CAC">
        <w:rPr>
          <w:rFonts w:ascii="Arial" w:hAnsi="Arial" w:cs="Arial"/>
          <w:sz w:val="23"/>
          <w:szCs w:val="23"/>
        </w:rPr>
        <w:t>», «пиво» и т.п.;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— символов и изображений алкогольной продукции (бутылки, рюмки, стопки, бокалы, пивные кружки и прочее).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6.15. Требования к рекламным конструкциям, устанавливаемым на объектах, реализующих алкогольную продукцию: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1. Рекламная конструкция, устанавливаемая на объектах, реализующих алкогольную продукцию не должна: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1) содержать утверждение о том, что употребление алкогольной продукции имеет </w:t>
      </w:r>
      <w:proofErr w:type="gramStart"/>
      <w:r w:rsidRPr="00510CAC">
        <w:rPr>
          <w:rFonts w:ascii="Arial" w:hAnsi="Arial" w:cs="Arial"/>
          <w:sz w:val="23"/>
          <w:szCs w:val="23"/>
        </w:rPr>
        <w:t>важное значение</w:t>
      </w:r>
      <w:proofErr w:type="gramEnd"/>
      <w:r w:rsidRPr="00510CAC">
        <w:rPr>
          <w:rFonts w:ascii="Arial" w:hAnsi="Arial" w:cs="Arial"/>
          <w:sz w:val="23"/>
          <w:szCs w:val="23"/>
        </w:rPr>
        <w:t xml:space="preserve"> для достижения общественного признания, профессионального, спортивного или личного успеха либо способствует улучшению физического или эмоционального состояния;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2) размещаться с использованием технических средств стабильного территориального размещения (рекламных конструкций), монтируемых и располагаемых </w:t>
      </w:r>
      <w:r w:rsidRPr="00510CAC">
        <w:rPr>
          <w:rFonts w:ascii="Arial" w:hAnsi="Arial" w:cs="Arial"/>
          <w:sz w:val="23"/>
          <w:szCs w:val="23"/>
        </w:rPr>
        <w:lastRenderedPageBreak/>
        <w:t xml:space="preserve">на крышах, внешних стенах и иных конструктивных элементах зданий, строений, сооружений или </w:t>
      </w:r>
      <w:proofErr w:type="gramStart"/>
      <w:r w:rsidRPr="00510CAC">
        <w:rPr>
          <w:rFonts w:ascii="Arial" w:hAnsi="Arial" w:cs="Arial"/>
          <w:sz w:val="23"/>
          <w:szCs w:val="23"/>
        </w:rPr>
        <w:t>вне</w:t>
      </w:r>
      <w:proofErr w:type="gramEnd"/>
      <w:r w:rsidRPr="00510CAC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510CAC">
        <w:rPr>
          <w:rFonts w:ascii="Arial" w:hAnsi="Arial" w:cs="Arial"/>
          <w:sz w:val="23"/>
          <w:szCs w:val="23"/>
        </w:rPr>
        <w:t>их</w:t>
      </w:r>
      <w:proofErr w:type="gramEnd"/>
      <w:r w:rsidRPr="00510CAC">
        <w:rPr>
          <w:rFonts w:ascii="Arial" w:hAnsi="Arial" w:cs="Arial"/>
          <w:sz w:val="23"/>
          <w:szCs w:val="23"/>
        </w:rPr>
        <w:t>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3) осуждать воздержание от употребления алкогольной продукции;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4) содержать утверждение о том, что алкогольная продукция безвредна или полезна для здоровья человека, в том числе информацию о наличии в алкогольной продукции биологически активных добавок, витаминов;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5) содержать упоминание о том, что употребление алкогольной продукции является одним из способов утоления жажды;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6) обращаться к несовершеннолетним;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7) использовать образы людей и животных, в том числе выполненные с помощью мультипликации (анимации).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2.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алкогольной продукции.</w:t>
      </w:r>
    </w:p>
    <w:p w:rsidR="0056030B" w:rsidRPr="00510CAC" w:rsidRDefault="00685AC5" w:rsidP="0056030B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3. 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</w:t>
      </w:r>
      <w:proofErr w:type="gramStart"/>
      <w:r w:rsidRPr="00510CAC">
        <w:rPr>
          <w:rFonts w:ascii="Arial" w:hAnsi="Arial" w:cs="Arial"/>
          <w:sz w:val="23"/>
          <w:szCs w:val="23"/>
        </w:rPr>
        <w:t>.»</w:t>
      </w:r>
      <w:proofErr w:type="gramEnd"/>
      <w:r w:rsidRPr="00510CAC">
        <w:rPr>
          <w:rFonts w:ascii="Arial" w:hAnsi="Arial" w:cs="Arial"/>
          <w:sz w:val="23"/>
          <w:szCs w:val="23"/>
        </w:rPr>
        <w:t>.</w:t>
      </w:r>
    </w:p>
    <w:p w:rsidR="00040C43" w:rsidRPr="00510CAC" w:rsidRDefault="00E04F75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  <w:lang w:eastAsia="ru-RU"/>
        </w:rPr>
        <w:t>1</w:t>
      </w:r>
      <w:r w:rsidR="00685AC5" w:rsidRPr="00510CAC">
        <w:rPr>
          <w:rFonts w:ascii="Arial" w:eastAsia="Times New Roman" w:hAnsi="Arial" w:cs="Arial"/>
          <w:sz w:val="23"/>
          <w:szCs w:val="23"/>
          <w:lang w:eastAsia="ru-RU"/>
        </w:rPr>
        <w:t>.2</w:t>
      </w:r>
      <w:r w:rsidRPr="00510CAC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="00040C43" w:rsidRPr="00510CAC">
        <w:rPr>
          <w:rFonts w:ascii="Arial" w:eastAsia="Times New Roman" w:hAnsi="Arial" w:cs="Arial"/>
          <w:sz w:val="23"/>
          <w:szCs w:val="23"/>
          <w:lang w:eastAsia="ru-RU"/>
        </w:rPr>
        <w:t xml:space="preserve">Раздел </w:t>
      </w:r>
      <w:r w:rsidR="00040C43" w:rsidRPr="00510CAC">
        <w:rPr>
          <w:rFonts w:ascii="Arial" w:eastAsia="Times New Roman" w:hAnsi="Arial" w:cs="Arial"/>
          <w:sz w:val="23"/>
          <w:szCs w:val="23"/>
          <w:lang w:val="en-US" w:eastAsia="ru-RU"/>
        </w:rPr>
        <w:t>XII</w:t>
      </w:r>
      <w:r w:rsidR="00510CA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27A6C" w:rsidRPr="00510CAC">
        <w:rPr>
          <w:rFonts w:ascii="Arial" w:eastAsia="Times New Roman" w:hAnsi="Arial" w:cs="Arial"/>
          <w:sz w:val="23"/>
          <w:szCs w:val="23"/>
          <w:lang w:eastAsia="ru-RU"/>
        </w:rPr>
        <w:t xml:space="preserve">Правил </w:t>
      </w:r>
      <w:r w:rsidR="00B550EA" w:rsidRPr="00510CAC">
        <w:rPr>
          <w:rFonts w:ascii="Arial" w:hAnsi="Arial" w:cs="Arial"/>
          <w:bCs/>
          <w:color w:val="000000"/>
          <w:sz w:val="23"/>
          <w:szCs w:val="23"/>
        </w:rPr>
        <w:t xml:space="preserve">дополнить пунктом </w:t>
      </w:r>
      <w:r w:rsidR="00BC16EF" w:rsidRPr="00510CAC">
        <w:rPr>
          <w:rFonts w:ascii="Arial" w:hAnsi="Arial" w:cs="Arial"/>
          <w:bCs/>
          <w:color w:val="000000"/>
          <w:sz w:val="23"/>
          <w:szCs w:val="23"/>
        </w:rPr>
        <w:t>12.4.</w:t>
      </w:r>
      <w:r w:rsidR="00040C43" w:rsidRPr="00510CAC">
        <w:rPr>
          <w:rFonts w:ascii="Arial" w:hAnsi="Arial" w:cs="Arial"/>
          <w:bCs/>
          <w:color w:val="000000"/>
          <w:sz w:val="23"/>
          <w:szCs w:val="23"/>
        </w:rPr>
        <w:t xml:space="preserve"> следующего содержания: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«12.4. Порядок участия граждан и организаций в реализации мероприятий по благоустройству территории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12.4.1. В целях вовлечения в принятие решений и реализацию проектов благоустройства территории, реального учета мнения всех участников деятельности по благоустройству территории (муниципальное образование), все решения, касающиеся благоустройства, принимаются с учетом мнения жителей</w:t>
      </w:r>
      <w:r w:rsidR="00510CAC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</w:t>
      </w:r>
      <w:r w:rsidR="00510CAC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A811C3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A811C3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и иных заинтересованных лиц, выраженных на общественных слушаниях.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12.4.2. 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с учетом объективной потребности в развитии тех или иных общественных пространств, экономической эффективности реализации проектов благоустройства территории и стратегии развития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.</w:t>
      </w:r>
      <w:proofErr w:type="gramEnd"/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12.4.3. В целях обеспечения широкого участия всех заинтересованных лиц в принятии решений в реализации мероприятий по благоустройству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и оптимального сочетания общественных интересов и пожеланий, проводятся следующие процедуры: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 (1 этап);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открытых конкурсов (2 этап);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рассмотрение созданных вариантов с вовлечением всех заинтересованных лиц, имеющих отношение к данной территории и данному вопросу (3 этап);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лиц (4 этап).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12.4.4. Участниками деятельности по благоустройству могут выступать: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а) население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которое формирует запрос на благоустройство и принимает участие в оценке предлагаемых решений;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б) представители органов местного самоуправления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которые обеспечивают в соответствии с действующим законодательством финансирование в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пределах своих полномочий, а также уполномоченные муниципальные учреждения, которые формируют техническое задание, выбирают исполнителей в соответствии с действующим законодательством в пределах своих полномочий;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в) хозяйствующие субъекты, осуществляющие деятельность на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которые могут участвовать в формировании предложений по благоустройству, а также в финансировании мероприятий по благоустройству;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специалисты, разрабатывающие концепции и проекты благоустройства территории, рабочую документацию.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12.4.5. Для осуществления участия граждан и иных заинтересованных лиц в процессе принятия решений и реализации проектов благоустройства территории используются следующие формы общественного участия: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совместное определение целей и задач по развитию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инвентаризация проблем и потенциалов;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определение основных видов активностей, функциональных зон общественных пространств;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консультации в выборе типов покрытий, с учетом функционального зонирования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консультации по предполагаемым типам озеленения;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консультации по предполагаемым типам освещения и осветительного оборудования;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участие в разработке проекта благоустройства территории, обсуждение решений с архитекторами, проектировщиками и другими профильными специалистами;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8) одобрение проектных решений участниками процесса проектирования и будущими пользователями, 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включая жителей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</w:t>
      </w:r>
      <w:proofErr w:type="gram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 иных заинтересованных лиц;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9) инициирование проектов благоустройства, в том числе в виде инициативных проектов благоустройства территории.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10) осуществление общественного контроля над процессом реализации проекта благоустройства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12.4.6. При реализации проектов благоустройства территории жители и иные заинтересованные лица информируются о задачах и проектах благоустройства территории, а также о возможности участия в этом процессе.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12.4.7. Информирование осуществляется путем: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размещения на официальном сайте администрации </w:t>
      </w:r>
      <w:proofErr w:type="spellStart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 разделе </w:t>
      </w:r>
      <w:r w:rsidR="00C256FD" w:rsidRPr="00510CAC">
        <w:rPr>
          <w:rFonts w:ascii="Arial" w:hAnsi="Arial" w:cs="Arial"/>
          <w:bCs/>
          <w:color w:val="000000"/>
          <w:sz w:val="23"/>
          <w:szCs w:val="23"/>
        </w:rPr>
        <w:t>«Градостроительство»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информации о ходе проектов благоустройства территории с публикацией фото-, виде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>о-</w:t>
      </w:r>
      <w:proofErr w:type="gram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 текстовых отчетов по итогам проведения общественных обсуждений;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организации работы со средствами массовой информации, охватывающими широкий круг жителей </w:t>
      </w:r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разных возрастных групп и потенциальные аудитории проекта благоустройства;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вывешивания афиш и объявлений на информационных досках в подъездах многоквартирных домов, расположенных в непосредственной близости к проектируемому объекту (дворовой территории, общественной территории), в наиболее посещаемых местах (торгово-развлекательные центры, объекты торговли,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lastRenderedPageBreak/>
        <w:t>библиотеки), на площадке проведения общественных обсуждений</w:t>
      </w:r>
      <w:proofErr w:type="gram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(в зоне входной группы, на специальных информационных стендах);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информирования жителей </w:t>
      </w:r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через школы и детские сады, в том числе школьные проекты: организация конкурса рисунков, сочинений, макетов, проектов, распространение анкет и приглашения для родителей учащихся;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индивидуальных приглашений участников встречи лично, по электронной почте или по телефону;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использования социальных сетей и </w:t>
      </w:r>
      <w:proofErr w:type="spellStart"/>
      <w:r w:rsidRPr="00510CAC">
        <w:rPr>
          <w:rFonts w:ascii="Arial" w:hAnsi="Arial" w:cs="Arial"/>
          <w:bCs/>
          <w:color w:val="000000"/>
          <w:sz w:val="23"/>
          <w:szCs w:val="23"/>
        </w:rPr>
        <w:t>интернет-ресурсов</w:t>
      </w:r>
      <w:proofErr w:type="spell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для обеспечения донесения информации до жителей </w:t>
      </w:r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различных общественных объединений и профессиональных сообществ;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установки специальных информационных стендов на территории объекта проектирования благоустройства.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12.4.8. При организации общественного участия жителей </w:t>
      </w:r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организаций в обсуждении проектов благоустройства территорий </w:t>
      </w:r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проводятся встречи, используется анкетирование, опросы, проведение общественных обсуждений, проведение оценки эксплуатации территории и прочее.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12.4.9. По итогам встреч, анкетирования, опросов, общественных обсуждений формируется отчет, который размещается на официальном сайте администрации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 телекоммуникационной сети «Интернет».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12.4.10. Участие лиц, осуществляющих предпринимательскую деятельность, в реализации комплексных проектов благоустройства территории заключается: </w:t>
      </w:r>
    </w:p>
    <w:p w:rsidR="00BC16EF" w:rsidRPr="00510CAC" w:rsidRDefault="00657A84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</w:t>
      </w:r>
      <w:r w:rsidR="00BC16EF" w:rsidRPr="00510CAC">
        <w:rPr>
          <w:rFonts w:ascii="Arial" w:hAnsi="Arial" w:cs="Arial"/>
          <w:bCs/>
          <w:color w:val="000000"/>
          <w:sz w:val="23"/>
          <w:szCs w:val="23"/>
        </w:rPr>
        <w:t xml:space="preserve">в создании и предоставлении разного рода услуг и сервисов для посетителей общественных пространств;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в строительстве, реконструкции, реставрации объектов недвижимости;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в производстве или размещении элементов благоустройства;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в комплексном благоустройстве отдельных территорий, прилегающих к территориям, благоустраиваемым за счет средств местного бюджета;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в организации мероприятий, обеспечивающих приток посетителей на создаваемые общественные пространства;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7) в организации уборки благоустроенных территорий, предоставлении сре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>дств дл</w:t>
      </w:r>
      <w:proofErr w:type="gram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я подготовки проектов благоустройства территорий или проведения творческих конкурсов на разработку архитектурных концепций общественных пространств;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8) в иных формах.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12.4.11. При желании жителей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 хозяйствующих субъектов возможно финансовое участие в благоустройстве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Порядок аккумулирования и расходования средств заинтересованных лиц, направляемых на выполнение работ по благоустройству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ведения учета поступающих средств, контроля расходования поступивших средств и информирования о поступлении и расходовании денежных средств определяются муниципальным правовым актом администрации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. </w:t>
      </w:r>
      <w:proofErr w:type="gramEnd"/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12.4.12. 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Участие в благоустройстве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может быть обеспечено также путем трудового участия за счет выполнения жителями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работ, не требующих специальной квалификации, на добровольной безвозмездной основе,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lastRenderedPageBreak/>
        <w:t>предоставления строительных материалов, техники, оборудования на добровольной безвозмездной основе.</w:t>
      </w:r>
      <w:proofErr w:type="gramEnd"/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12.4.13. Общественный контроль является одним из механизмов общественного участия.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12.4.14. Общественный контроль над процессами реализации мероприятий по благоустройству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включает оценку степени привлечения граждан и общественных организаций к реализации мероприятий по благоустройству по следующим направлениям: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открытый доступ неопределенного круга лиц к информации о проекте благоустройства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прозрачный механизм участия в проектах благоустройства территорий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всех заинтересованных сторон, учитывающий персональные возможности граждан и общественных организаций;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возможность участия граждан и общественных организаций на самых ранних этапах разработки проекта благоустройства территории, включая выбор территории, формирование целей и задач, разработку технического задания, концепции;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возможность оценки гражданами и общественными организациями собственного вклада в соотношении с влиянием на конечный результат проекта благоустройства территории.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12.4.15. При проведении оценки анализируется привлечение граждан и общественных организаций на следующих этапах реализации мероприятий: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прием заявок на участие в реализации мероприятия и (или) прием предложений о выборе территории для благоустройства;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проведение </w:t>
      </w:r>
      <w:proofErr w:type="spellStart"/>
      <w:r w:rsidRPr="00510CAC">
        <w:rPr>
          <w:rFonts w:ascii="Arial" w:hAnsi="Arial" w:cs="Arial"/>
          <w:bCs/>
          <w:color w:val="000000"/>
          <w:sz w:val="23"/>
          <w:szCs w:val="23"/>
        </w:rPr>
        <w:t>предпроектного</w:t>
      </w:r>
      <w:proofErr w:type="spell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исследования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организация общественного обсуждения по выбору территории при участии экспертного сообщества, фактических и потенциальных пользователей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организация общественного обсуждения концепции развития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организация общественного обсуждения проекта благоустройства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организация общественного участия в реализации проекта благоустройства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организация общественного участия в открытии и оценке реализованного проекта благоустройства территории.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12.4.16.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>о-</w:t>
      </w:r>
      <w:proofErr w:type="gram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proofErr w:type="spellStart"/>
      <w:r w:rsidRPr="00510CAC">
        <w:rPr>
          <w:rFonts w:ascii="Arial" w:hAnsi="Arial" w:cs="Arial"/>
          <w:bCs/>
          <w:color w:val="000000"/>
          <w:sz w:val="23"/>
          <w:szCs w:val="23"/>
        </w:rPr>
        <w:t>видеофиксации</w:t>
      </w:r>
      <w:proofErr w:type="spellEnd"/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</w:t>
      </w:r>
      <w:proofErr w:type="spellStart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</w:t>
      </w:r>
      <w:proofErr w:type="spellEnd"/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 муниципального района Костромской области</w:t>
      </w:r>
      <w:proofErr w:type="gramStart"/>
      <w:r w:rsidRPr="00510CAC">
        <w:rPr>
          <w:rFonts w:ascii="Arial" w:hAnsi="Arial" w:cs="Arial"/>
          <w:bCs/>
          <w:color w:val="000000"/>
          <w:sz w:val="23"/>
          <w:szCs w:val="23"/>
        </w:rPr>
        <w:t>.».</w:t>
      </w:r>
      <w:proofErr w:type="gramEnd"/>
    </w:p>
    <w:p w:rsidR="00F1564A" w:rsidRPr="00510CAC" w:rsidRDefault="00004F48" w:rsidP="00685AC5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</w:rPr>
        <w:t>2</w:t>
      </w:r>
      <w:r w:rsidR="00436312" w:rsidRPr="00510CAC">
        <w:rPr>
          <w:rFonts w:ascii="Arial" w:eastAsia="Times New Roman" w:hAnsi="Arial" w:cs="Arial"/>
          <w:sz w:val="23"/>
          <w:szCs w:val="23"/>
        </w:rPr>
        <w:t xml:space="preserve">. </w:t>
      </w:r>
      <w:r w:rsidR="00510CAC">
        <w:rPr>
          <w:rFonts w:ascii="Arial" w:eastAsia="Times New Roman" w:hAnsi="Arial" w:cs="Arial"/>
          <w:color w:val="000000"/>
          <w:sz w:val="23"/>
          <w:szCs w:val="23"/>
        </w:rPr>
        <w:t>Настоящее р</w:t>
      </w:r>
      <w:r w:rsidR="00B63A7C" w:rsidRPr="00510CAC">
        <w:rPr>
          <w:rFonts w:ascii="Arial" w:eastAsia="Times New Roman" w:hAnsi="Arial" w:cs="Arial"/>
          <w:color w:val="000000"/>
          <w:sz w:val="23"/>
          <w:szCs w:val="23"/>
        </w:rPr>
        <w:t>ешение вступает в силу с</w:t>
      </w:r>
      <w:r w:rsidR="00021747" w:rsidRPr="00510CAC">
        <w:rPr>
          <w:rFonts w:ascii="Arial" w:eastAsia="Times New Roman" w:hAnsi="Arial" w:cs="Arial"/>
          <w:color w:val="000000"/>
          <w:sz w:val="23"/>
          <w:szCs w:val="23"/>
        </w:rPr>
        <w:t>одня официального опубликования.</w:t>
      </w:r>
    </w:p>
    <w:p w:rsidR="00F1564A" w:rsidRPr="00510CAC" w:rsidRDefault="00F1564A" w:rsidP="00327A6C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</w:p>
    <w:p w:rsidR="004D3A94" w:rsidRPr="00510CAC" w:rsidRDefault="004D3A94" w:rsidP="00327A6C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</w:p>
    <w:p w:rsidR="004D3A94" w:rsidRPr="00510CAC" w:rsidRDefault="004D3A94" w:rsidP="00327A6C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</w:p>
    <w:p w:rsidR="004D3A94" w:rsidRPr="00510CAC" w:rsidRDefault="004D3A94" w:rsidP="00327A6C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510CAC">
        <w:rPr>
          <w:rFonts w:ascii="Arial" w:eastAsia="Calibri" w:hAnsi="Arial" w:cs="Arial"/>
          <w:sz w:val="23"/>
          <w:szCs w:val="23"/>
        </w:rPr>
        <w:t>Глава городского поселения город Макарьев</w:t>
      </w:r>
    </w:p>
    <w:p w:rsidR="004D3A94" w:rsidRPr="00510CAC" w:rsidRDefault="004D3A94" w:rsidP="00327A6C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proofErr w:type="spellStart"/>
      <w:r w:rsidRPr="00510CAC">
        <w:rPr>
          <w:rFonts w:ascii="Arial" w:eastAsia="Calibri" w:hAnsi="Arial" w:cs="Arial"/>
          <w:sz w:val="23"/>
          <w:szCs w:val="23"/>
        </w:rPr>
        <w:t>Макарьевского</w:t>
      </w:r>
      <w:proofErr w:type="spellEnd"/>
      <w:r w:rsidRPr="00510CAC">
        <w:rPr>
          <w:rFonts w:ascii="Arial" w:eastAsia="Calibri" w:hAnsi="Arial" w:cs="Arial"/>
          <w:sz w:val="23"/>
          <w:szCs w:val="23"/>
        </w:rPr>
        <w:t xml:space="preserve"> муниципального района</w:t>
      </w:r>
    </w:p>
    <w:p w:rsidR="004D3A94" w:rsidRPr="00510CAC" w:rsidRDefault="004D3A94" w:rsidP="00327A6C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510CAC">
        <w:rPr>
          <w:rFonts w:ascii="Arial" w:eastAsia="Calibri" w:hAnsi="Arial" w:cs="Arial"/>
          <w:sz w:val="23"/>
          <w:szCs w:val="23"/>
        </w:rPr>
        <w:t xml:space="preserve">Костромской области                                                                              </w:t>
      </w:r>
      <w:r w:rsidR="00510CAC">
        <w:rPr>
          <w:rFonts w:ascii="Arial" w:eastAsia="Calibri" w:hAnsi="Arial" w:cs="Arial"/>
          <w:sz w:val="23"/>
          <w:szCs w:val="23"/>
        </w:rPr>
        <w:t xml:space="preserve">           </w:t>
      </w:r>
      <w:r w:rsidRPr="00510CAC">
        <w:rPr>
          <w:rFonts w:ascii="Arial" w:eastAsia="Calibri" w:hAnsi="Arial" w:cs="Arial"/>
          <w:sz w:val="23"/>
          <w:szCs w:val="23"/>
        </w:rPr>
        <w:t xml:space="preserve">   М.В. Соколов</w:t>
      </w:r>
    </w:p>
    <w:sectPr w:rsidR="004D3A94" w:rsidRPr="00510CAC" w:rsidSect="00510CAC">
      <w:pgSz w:w="11906" w:h="16838"/>
      <w:pgMar w:top="90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E38"/>
    <w:multiLevelType w:val="hybridMultilevel"/>
    <w:tmpl w:val="4B4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64A"/>
    <w:rsid w:val="00004F48"/>
    <w:rsid w:val="00021747"/>
    <w:rsid w:val="00033620"/>
    <w:rsid w:val="00040C43"/>
    <w:rsid w:val="000650AD"/>
    <w:rsid w:val="001140DB"/>
    <w:rsid w:val="001221B2"/>
    <w:rsid w:val="001354E2"/>
    <w:rsid w:val="00181532"/>
    <w:rsid w:val="001A2994"/>
    <w:rsid w:val="002F1123"/>
    <w:rsid w:val="0031727A"/>
    <w:rsid w:val="00327A6C"/>
    <w:rsid w:val="00341415"/>
    <w:rsid w:val="00375214"/>
    <w:rsid w:val="00385A4E"/>
    <w:rsid w:val="003A55F8"/>
    <w:rsid w:val="003A57DD"/>
    <w:rsid w:val="00403BD2"/>
    <w:rsid w:val="00405E57"/>
    <w:rsid w:val="00427C29"/>
    <w:rsid w:val="00436312"/>
    <w:rsid w:val="0044044E"/>
    <w:rsid w:val="00450635"/>
    <w:rsid w:val="004D3A94"/>
    <w:rsid w:val="004F6EDB"/>
    <w:rsid w:val="00510CAC"/>
    <w:rsid w:val="00534A8F"/>
    <w:rsid w:val="0056030B"/>
    <w:rsid w:val="00571F7F"/>
    <w:rsid w:val="00591A76"/>
    <w:rsid w:val="005A4C12"/>
    <w:rsid w:val="005B617B"/>
    <w:rsid w:val="005F4DF7"/>
    <w:rsid w:val="00657A84"/>
    <w:rsid w:val="00685AC5"/>
    <w:rsid w:val="00713265"/>
    <w:rsid w:val="0071417C"/>
    <w:rsid w:val="007948C3"/>
    <w:rsid w:val="0083068A"/>
    <w:rsid w:val="00871340"/>
    <w:rsid w:val="008B7703"/>
    <w:rsid w:val="0097425F"/>
    <w:rsid w:val="009F00D5"/>
    <w:rsid w:val="00A03106"/>
    <w:rsid w:val="00A73D50"/>
    <w:rsid w:val="00A811C3"/>
    <w:rsid w:val="00A85216"/>
    <w:rsid w:val="00AA0086"/>
    <w:rsid w:val="00AF69AE"/>
    <w:rsid w:val="00B25787"/>
    <w:rsid w:val="00B340C9"/>
    <w:rsid w:val="00B36CC9"/>
    <w:rsid w:val="00B550EA"/>
    <w:rsid w:val="00B63A7C"/>
    <w:rsid w:val="00B76BCF"/>
    <w:rsid w:val="00BC16EF"/>
    <w:rsid w:val="00C256FD"/>
    <w:rsid w:val="00C26819"/>
    <w:rsid w:val="00C72B6C"/>
    <w:rsid w:val="00CC7E42"/>
    <w:rsid w:val="00CD71B6"/>
    <w:rsid w:val="00CF6F76"/>
    <w:rsid w:val="00D018C8"/>
    <w:rsid w:val="00D12DFD"/>
    <w:rsid w:val="00D97FBF"/>
    <w:rsid w:val="00E04F75"/>
    <w:rsid w:val="00E11FDE"/>
    <w:rsid w:val="00EF5333"/>
    <w:rsid w:val="00F1564A"/>
    <w:rsid w:val="00F81180"/>
    <w:rsid w:val="00FC07A4"/>
    <w:rsid w:val="00FC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B6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B63A7C"/>
    <w:rPr>
      <w:rFonts w:ascii="Calibri" w:eastAsia="Times New Roman" w:hAnsi="Calibri" w:cs="Times New Roman"/>
      <w:szCs w:val="20"/>
    </w:rPr>
  </w:style>
  <w:style w:type="character" w:customStyle="1" w:styleId="1">
    <w:name w:val="Гиперссылка1"/>
    <w:basedOn w:val="a0"/>
    <w:rsid w:val="00004F48"/>
  </w:style>
  <w:style w:type="paragraph" w:styleId="a4">
    <w:name w:val="List Paragraph"/>
    <w:basedOn w:val="a"/>
    <w:uiPriority w:val="34"/>
    <w:qFormat/>
    <w:rsid w:val="00685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1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51</cp:revision>
  <cp:lastPrinted>2024-08-28T12:43:00Z</cp:lastPrinted>
  <dcterms:created xsi:type="dcterms:W3CDTF">2022-02-21T12:58:00Z</dcterms:created>
  <dcterms:modified xsi:type="dcterms:W3CDTF">2024-08-28T12:44:00Z</dcterms:modified>
</cp:coreProperties>
</file>